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E85" w:rsidRPr="00BE3E18" w:rsidRDefault="00ED1261">
      <w:pPr>
        <w:rPr>
          <w:rFonts w:ascii="Arial" w:hAnsi="Arial" w:cs="Arial"/>
          <w:b/>
          <w:sz w:val="24"/>
          <w:szCs w:val="24"/>
        </w:rPr>
      </w:pPr>
      <w:r w:rsidRPr="00BE3E18">
        <w:rPr>
          <w:rFonts w:ascii="Arial" w:hAnsi="Arial" w:cs="Arial"/>
          <w:b/>
          <w:sz w:val="24"/>
          <w:szCs w:val="24"/>
        </w:rPr>
        <w:t>GENERAL OCCUPANCY RENTAL VACANCY RATES FROM 2016 HOUSING STUDY</w:t>
      </w:r>
    </w:p>
    <w:p w:rsidR="00ED1261" w:rsidRPr="00B07AD2" w:rsidRDefault="00ED1261">
      <w:pPr>
        <w:rPr>
          <w:sz w:val="24"/>
          <w:szCs w:val="24"/>
        </w:rPr>
      </w:pPr>
      <w:r w:rsidRPr="00BE3E18">
        <w:rPr>
          <w:sz w:val="24"/>
          <w:szCs w:val="24"/>
        </w:rPr>
        <w:t>The vacancy rate for market rate rentals was 1%, shallow subsidized was 0%, and deep subsidized was .3%.</w:t>
      </w:r>
    </w:p>
    <w:p w:rsidR="00ED1261" w:rsidRPr="00BE3E18" w:rsidRDefault="00ED1261">
      <w:pPr>
        <w:rPr>
          <w:rFonts w:ascii="Arial" w:hAnsi="Arial" w:cs="Arial"/>
          <w:b/>
          <w:sz w:val="24"/>
          <w:szCs w:val="24"/>
        </w:rPr>
      </w:pPr>
      <w:r>
        <w:t xml:space="preserve"> </w:t>
      </w:r>
      <w:r w:rsidRPr="00BE3E18">
        <w:rPr>
          <w:rFonts w:ascii="Arial" w:hAnsi="Arial" w:cs="Arial"/>
          <w:b/>
          <w:sz w:val="24"/>
          <w:szCs w:val="24"/>
        </w:rPr>
        <w:t>SENIOR OCCUPANCY RENTAL VACANCY RATES FROM 2016 HOUSING STUDY</w:t>
      </w:r>
    </w:p>
    <w:p w:rsidR="00330E87" w:rsidRPr="00B07AD2" w:rsidRDefault="00ED1261">
      <w:pPr>
        <w:rPr>
          <w:rFonts w:ascii="Arial" w:hAnsi="Arial" w:cs="Arial"/>
          <w:sz w:val="24"/>
          <w:szCs w:val="24"/>
        </w:rPr>
      </w:pPr>
      <w:r w:rsidRPr="00BE3E18">
        <w:rPr>
          <w:rFonts w:ascii="Arial" w:hAnsi="Arial" w:cs="Arial"/>
          <w:sz w:val="24"/>
          <w:szCs w:val="24"/>
        </w:rPr>
        <w:t>The vacancy rate for market senior rentals was 3.4%, assisted living units had a vacancy rate of 6.3%, and skilled bed units had a vacancy rate of 5.2%.  Shallow and deep subsidized senior rental housing units had a vacancy rate of 3.2%</w:t>
      </w:r>
      <w:r w:rsidR="00330E87" w:rsidRPr="00BE3E18">
        <w:rPr>
          <w:rFonts w:ascii="Arial" w:hAnsi="Arial" w:cs="Arial"/>
          <w:sz w:val="24"/>
          <w:szCs w:val="24"/>
        </w:rPr>
        <w:t>.</w:t>
      </w:r>
    </w:p>
    <w:p w:rsidR="00BE3E18" w:rsidRPr="00BE3E18" w:rsidRDefault="00BE3E18">
      <w:pPr>
        <w:rPr>
          <w:rFonts w:ascii="Arial" w:hAnsi="Arial" w:cs="Arial"/>
          <w:b/>
        </w:rPr>
      </w:pPr>
      <w:r w:rsidRPr="00BE3E18">
        <w:rPr>
          <w:rFonts w:ascii="Arial" w:hAnsi="Arial" w:cs="Arial"/>
          <w:b/>
        </w:rPr>
        <w:t>Income Data</w:t>
      </w:r>
    </w:p>
    <w:p w:rsidR="00330E87" w:rsidRPr="00BE3E18" w:rsidRDefault="00330E87">
      <w:pPr>
        <w:rPr>
          <w:rFonts w:ascii="Arial" w:hAnsi="Arial" w:cs="Arial"/>
          <w:sz w:val="24"/>
          <w:szCs w:val="24"/>
        </w:rPr>
      </w:pPr>
      <w:r w:rsidRPr="00BE3E18">
        <w:rPr>
          <w:rFonts w:ascii="Arial" w:hAnsi="Arial" w:cs="Arial"/>
          <w:sz w:val="24"/>
          <w:szCs w:val="24"/>
        </w:rPr>
        <w:t>Per HUD; Median Family (household of 4) Income for Winona County is $87,500</w:t>
      </w:r>
    </w:p>
    <w:p w:rsidR="00330E87" w:rsidRPr="00BE3E18" w:rsidRDefault="00330E87" w:rsidP="00B07AD2">
      <w:pPr>
        <w:spacing w:after="0"/>
        <w:rPr>
          <w:rFonts w:ascii="Arial" w:hAnsi="Arial" w:cs="Arial"/>
          <w:sz w:val="24"/>
          <w:szCs w:val="24"/>
        </w:rPr>
      </w:pPr>
      <w:r w:rsidRPr="00BE3E18">
        <w:rPr>
          <w:rFonts w:ascii="Arial" w:hAnsi="Arial" w:cs="Arial"/>
          <w:sz w:val="24"/>
          <w:szCs w:val="24"/>
        </w:rPr>
        <w:t xml:space="preserve">Per </w:t>
      </w:r>
      <w:r w:rsidR="002A7F81" w:rsidRPr="00BE3E18">
        <w:rPr>
          <w:rFonts w:ascii="Arial" w:hAnsi="Arial" w:cs="Arial"/>
          <w:sz w:val="24"/>
          <w:szCs w:val="24"/>
        </w:rPr>
        <w:t>2020 Census Data—5-year estimate</w:t>
      </w:r>
    </w:p>
    <w:p w:rsidR="002A7F81" w:rsidRPr="00BE3E18" w:rsidRDefault="002A7F81" w:rsidP="00B07AD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BE3E18">
        <w:rPr>
          <w:rFonts w:ascii="Arial" w:hAnsi="Arial" w:cs="Arial"/>
          <w:sz w:val="24"/>
          <w:szCs w:val="24"/>
        </w:rPr>
        <w:t xml:space="preserve">Family (owner with one or more </w:t>
      </w:r>
      <w:r w:rsidR="00BE3E18" w:rsidRPr="00BE3E18">
        <w:rPr>
          <w:rFonts w:ascii="Arial" w:hAnsi="Arial" w:cs="Arial"/>
          <w:sz w:val="24"/>
          <w:szCs w:val="24"/>
        </w:rPr>
        <w:t xml:space="preserve">related </w:t>
      </w:r>
      <w:r w:rsidRPr="00BE3E18">
        <w:rPr>
          <w:rFonts w:ascii="Arial" w:hAnsi="Arial" w:cs="Arial"/>
          <w:sz w:val="24"/>
          <w:szCs w:val="24"/>
        </w:rPr>
        <w:t>person(s) Median Income-$78,487</w:t>
      </w:r>
    </w:p>
    <w:p w:rsidR="002A7F81" w:rsidRPr="00BE3E18" w:rsidRDefault="002A7F81" w:rsidP="00B07AD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BE3E18">
        <w:rPr>
          <w:rFonts w:ascii="Arial" w:hAnsi="Arial" w:cs="Arial"/>
          <w:sz w:val="24"/>
          <w:szCs w:val="24"/>
        </w:rPr>
        <w:t>Married</w:t>
      </w:r>
      <w:r w:rsidR="00BE3E18" w:rsidRPr="00BE3E18">
        <w:rPr>
          <w:rFonts w:ascii="Arial" w:hAnsi="Arial" w:cs="Arial"/>
          <w:sz w:val="24"/>
          <w:szCs w:val="24"/>
        </w:rPr>
        <w:t xml:space="preserve"> (Spouses living together)</w:t>
      </w:r>
      <w:r w:rsidRPr="00BE3E18">
        <w:rPr>
          <w:rFonts w:ascii="Arial" w:hAnsi="Arial" w:cs="Arial"/>
          <w:sz w:val="24"/>
          <w:szCs w:val="24"/>
        </w:rPr>
        <w:t xml:space="preserve"> Median Income--$86,509</w:t>
      </w:r>
    </w:p>
    <w:p w:rsidR="002A7F81" w:rsidRPr="00BE3E18" w:rsidRDefault="002A7F81" w:rsidP="00B07AD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BE3E18">
        <w:rPr>
          <w:rFonts w:ascii="Arial" w:hAnsi="Arial" w:cs="Arial"/>
          <w:sz w:val="24"/>
          <w:szCs w:val="24"/>
        </w:rPr>
        <w:t>Nonfamily</w:t>
      </w:r>
      <w:r w:rsidR="00BE3E18" w:rsidRPr="00BE3E18">
        <w:rPr>
          <w:rFonts w:ascii="Arial" w:hAnsi="Arial" w:cs="Arial"/>
          <w:sz w:val="24"/>
          <w:szCs w:val="24"/>
        </w:rPr>
        <w:t xml:space="preserve"> (owner living alone or with non-relation)</w:t>
      </w:r>
      <w:r w:rsidRPr="00BE3E18">
        <w:rPr>
          <w:rFonts w:ascii="Arial" w:hAnsi="Arial" w:cs="Arial"/>
          <w:sz w:val="24"/>
          <w:szCs w:val="24"/>
        </w:rPr>
        <w:t xml:space="preserve"> Median Income--$32,657</w:t>
      </w:r>
    </w:p>
    <w:p w:rsidR="00BE3E18" w:rsidRPr="00B07AD2" w:rsidRDefault="00BE3E18" w:rsidP="00B07AD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BE3E18">
        <w:rPr>
          <w:rFonts w:ascii="Arial" w:hAnsi="Arial" w:cs="Arial"/>
          <w:sz w:val="24"/>
          <w:szCs w:val="24"/>
        </w:rPr>
        <w:t>Household (could be any of the above) Median Income--$48,653</w:t>
      </w:r>
    </w:p>
    <w:p w:rsidR="00BE3E18" w:rsidRDefault="00BE3E18" w:rsidP="00BE3E18">
      <w:pPr>
        <w:rPr>
          <w:rFonts w:ascii="Arial" w:hAnsi="Arial" w:cs="Arial"/>
          <w:b/>
          <w:sz w:val="24"/>
          <w:szCs w:val="24"/>
        </w:rPr>
      </w:pPr>
      <w:r w:rsidRPr="00BE3E18">
        <w:rPr>
          <w:rFonts w:ascii="Arial" w:hAnsi="Arial" w:cs="Arial"/>
          <w:b/>
          <w:sz w:val="24"/>
          <w:szCs w:val="24"/>
        </w:rPr>
        <w:t>Housing data for Winona from 2020 Census Data—5-year estimate</w:t>
      </w:r>
    </w:p>
    <w:p w:rsidR="00BE3E18" w:rsidRDefault="00BE3E18" w:rsidP="00BE3E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</w:t>
      </w:r>
      <w:proofErr w:type="gramStart"/>
      <w:r>
        <w:rPr>
          <w:rFonts w:ascii="Arial" w:hAnsi="Arial" w:cs="Arial"/>
          <w:sz w:val="24"/>
          <w:szCs w:val="24"/>
        </w:rPr>
        <w:t>are</w:t>
      </w:r>
      <w:proofErr w:type="gramEnd"/>
      <w:r>
        <w:rPr>
          <w:rFonts w:ascii="Arial" w:hAnsi="Arial" w:cs="Arial"/>
          <w:sz w:val="24"/>
          <w:szCs w:val="24"/>
        </w:rPr>
        <w:t xml:space="preserve"> a total of 11,502 housing units, of which 10,521 are occupied and 981 are vacant.  Overall, there are 6,746 (64.1%) owner-occupied units, of which .6</w:t>
      </w:r>
      <w:r w:rsidR="00544024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are vacant and there are </w:t>
      </w:r>
      <w:r w:rsidR="00544024">
        <w:rPr>
          <w:rFonts w:ascii="Arial" w:hAnsi="Arial" w:cs="Arial"/>
          <w:sz w:val="24"/>
          <w:szCs w:val="24"/>
        </w:rPr>
        <w:t xml:space="preserve">3,775 renter-occupied units (35.9%), of which .5% are vacant.  </w:t>
      </w:r>
    </w:p>
    <w:p w:rsidR="00544024" w:rsidRDefault="00544024" w:rsidP="00BE3E18">
      <w:pPr>
        <w:rPr>
          <w:rFonts w:ascii="Arial" w:hAnsi="Arial" w:cs="Arial"/>
          <w:sz w:val="24"/>
          <w:szCs w:val="24"/>
        </w:rPr>
      </w:pPr>
      <w:r w:rsidRPr="00544024">
        <w:rPr>
          <w:rFonts w:ascii="Arial" w:hAnsi="Arial" w:cs="Arial"/>
          <w:sz w:val="24"/>
          <w:szCs w:val="24"/>
        </w:rPr>
        <w:t>A cost-burden household is defined as spending 30% or more of their gross income on housing costs.  In the City of Winona, 28% of homeowners and 47% of renters are considered cost-burden.</w:t>
      </w:r>
    </w:p>
    <w:p w:rsidR="00544024" w:rsidRDefault="00544024" w:rsidP="00BE3E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median housing costs for homeowners with a mortgage is $1,135 per month and $648 for renters.</w:t>
      </w:r>
    </w:p>
    <w:p w:rsidR="00544024" w:rsidRDefault="00544024" w:rsidP="004E7D1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rents charged in Winona range from less than $500 to $1,999 per month.  The breakdown is:</w:t>
      </w:r>
    </w:p>
    <w:p w:rsidR="00544024" w:rsidRPr="008A38ED" w:rsidRDefault="008A38ED" w:rsidP="004E7D16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67 pay zero rent</w:t>
      </w:r>
    </w:p>
    <w:p w:rsidR="00544024" w:rsidRDefault="00544024" w:rsidP="004E7D1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544024">
        <w:rPr>
          <w:rFonts w:ascii="Arial" w:hAnsi="Arial" w:cs="Arial"/>
          <w:sz w:val="24"/>
          <w:szCs w:val="24"/>
        </w:rPr>
        <w:t xml:space="preserve">1,018 </w:t>
      </w:r>
      <w:r>
        <w:rPr>
          <w:rFonts w:ascii="Arial" w:hAnsi="Arial" w:cs="Arial"/>
          <w:sz w:val="24"/>
          <w:szCs w:val="24"/>
        </w:rPr>
        <w:t xml:space="preserve">renters </w:t>
      </w:r>
      <w:r w:rsidRPr="00544024">
        <w:rPr>
          <w:rFonts w:ascii="Arial" w:hAnsi="Arial" w:cs="Arial"/>
          <w:sz w:val="24"/>
          <w:szCs w:val="24"/>
        </w:rPr>
        <w:t>pay $</w:t>
      </w:r>
      <w:r w:rsidR="007D4E85">
        <w:rPr>
          <w:rFonts w:ascii="Arial" w:hAnsi="Arial" w:cs="Arial"/>
          <w:sz w:val="24"/>
          <w:szCs w:val="24"/>
        </w:rPr>
        <w:t>499</w:t>
      </w:r>
      <w:r w:rsidRPr="00544024">
        <w:rPr>
          <w:rFonts w:ascii="Arial" w:hAnsi="Arial" w:cs="Arial"/>
          <w:sz w:val="24"/>
          <w:szCs w:val="24"/>
        </w:rPr>
        <w:t xml:space="preserve"> or less</w:t>
      </w:r>
    </w:p>
    <w:p w:rsidR="00544024" w:rsidRDefault="00544024" w:rsidP="004E7D1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2,194 renters pay $500 to $999</w:t>
      </w:r>
    </w:p>
    <w:p w:rsidR="00544024" w:rsidRDefault="00544024" w:rsidP="004E7D1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438 renters pay $1,000 to $1,</w:t>
      </w:r>
      <w:r w:rsidR="009275A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99</w:t>
      </w:r>
    </w:p>
    <w:p w:rsidR="009275A5" w:rsidRDefault="007D4E85" w:rsidP="004E7D1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58 renters pay $1,500 to 1,999</w:t>
      </w:r>
    </w:p>
    <w:p w:rsidR="004E7D16" w:rsidRDefault="004E7D16" w:rsidP="004E7D16">
      <w:pPr>
        <w:ind w:left="360"/>
        <w:rPr>
          <w:rFonts w:ascii="Arial" w:hAnsi="Arial" w:cs="Arial"/>
          <w:sz w:val="24"/>
          <w:szCs w:val="24"/>
        </w:rPr>
      </w:pPr>
    </w:p>
    <w:p w:rsidR="007D4E85" w:rsidRPr="004E7D16" w:rsidRDefault="00175234" w:rsidP="004E7D16">
      <w:pPr>
        <w:ind w:left="360"/>
        <w:rPr>
          <w:rFonts w:ascii="Arial" w:hAnsi="Arial" w:cs="Arial"/>
          <w:sz w:val="24"/>
          <w:szCs w:val="24"/>
        </w:rPr>
      </w:pPr>
      <w:r w:rsidRPr="004E7D16">
        <w:rPr>
          <w:rFonts w:ascii="Arial" w:hAnsi="Arial" w:cs="Arial"/>
          <w:sz w:val="24"/>
          <w:szCs w:val="24"/>
        </w:rPr>
        <w:t>Renters earning $20,000 or less account for 35% of all renters, whereas only 26.9% of the rental stock is affordable to this income.  Additionally, 30% of renters in this income bracket spend 30% or more on housing.</w:t>
      </w:r>
    </w:p>
    <w:p w:rsidR="00175234" w:rsidRDefault="00175234" w:rsidP="007D4E85">
      <w:pPr>
        <w:pStyle w:val="ListParagraph"/>
        <w:rPr>
          <w:rFonts w:ascii="Arial" w:hAnsi="Arial" w:cs="Arial"/>
          <w:sz w:val="24"/>
          <w:szCs w:val="24"/>
        </w:rPr>
      </w:pPr>
    </w:p>
    <w:p w:rsidR="004E7D16" w:rsidRDefault="004E7D16" w:rsidP="004E7D16">
      <w:pPr>
        <w:rPr>
          <w:rFonts w:ascii="Arial" w:hAnsi="Arial" w:cs="Arial"/>
          <w:sz w:val="24"/>
          <w:szCs w:val="24"/>
        </w:rPr>
      </w:pPr>
    </w:p>
    <w:p w:rsidR="002A7F81" w:rsidRDefault="00175234" w:rsidP="004E7D16">
      <w:pPr>
        <w:rPr>
          <w:rFonts w:ascii="Arial" w:hAnsi="Arial" w:cs="Arial"/>
          <w:sz w:val="24"/>
          <w:szCs w:val="24"/>
        </w:rPr>
      </w:pPr>
      <w:r w:rsidRPr="004E7D16">
        <w:rPr>
          <w:rFonts w:ascii="Arial" w:hAnsi="Arial" w:cs="Arial"/>
          <w:sz w:val="24"/>
          <w:szCs w:val="24"/>
        </w:rPr>
        <w:t xml:space="preserve">Renters earning $20,000 - $34,999 account for 25.1% of all renters, whereas 85% of the rental stock is affordable to those earning $39,960 or less annually. </w:t>
      </w:r>
    </w:p>
    <w:p w:rsidR="004E7D16" w:rsidRPr="004E7D16" w:rsidRDefault="004E7D16" w:rsidP="004E7D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Overall, when evaluating cost-burden households, approximately 62% of all homeowners and renters spend 30% or more on housing costs.</w:t>
      </w:r>
      <w:bookmarkStart w:id="0" w:name="_GoBack"/>
      <w:bookmarkEnd w:id="0"/>
    </w:p>
    <w:sectPr w:rsidR="004E7D16" w:rsidRPr="004E7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14570"/>
    <w:multiLevelType w:val="hybridMultilevel"/>
    <w:tmpl w:val="546A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9262A"/>
    <w:multiLevelType w:val="hybridMultilevel"/>
    <w:tmpl w:val="A3880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57BD3"/>
    <w:multiLevelType w:val="hybridMultilevel"/>
    <w:tmpl w:val="1BD4F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261"/>
    <w:rsid w:val="00175234"/>
    <w:rsid w:val="00281E85"/>
    <w:rsid w:val="002A7F81"/>
    <w:rsid w:val="00330E87"/>
    <w:rsid w:val="004E7D16"/>
    <w:rsid w:val="00544024"/>
    <w:rsid w:val="007D4E85"/>
    <w:rsid w:val="008A38ED"/>
    <w:rsid w:val="009275A5"/>
    <w:rsid w:val="00B07AD2"/>
    <w:rsid w:val="00BE3E18"/>
    <w:rsid w:val="00DD7419"/>
    <w:rsid w:val="00E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F789B"/>
  <w15:chartTrackingRefBased/>
  <w15:docId w15:val="{413D353A-5762-4DB4-8449-80E86B86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Winona, MN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Larson</dc:creator>
  <cp:keywords/>
  <dc:description/>
  <cp:lastModifiedBy>Nick Larson</cp:lastModifiedBy>
  <cp:revision>2</cp:revision>
  <dcterms:created xsi:type="dcterms:W3CDTF">2022-06-07T20:45:00Z</dcterms:created>
  <dcterms:modified xsi:type="dcterms:W3CDTF">2022-06-07T20:45:00Z</dcterms:modified>
</cp:coreProperties>
</file>